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60329</w:t>
      </w:r>
      <w:bookmarkStart w:id="4" w:name="_GoBack"/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Updating introduction of security area#2 to include lower layer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clause 5.2.1 of TS 33.801-01, the p</w:t>
      </w:r>
      <w:r>
        <w:t>urpose</w:t>
      </w:r>
      <w:r>
        <w:rPr>
          <w:rFonts w:hint="eastAsia"/>
          <w:lang w:val="en-US" w:eastAsia="zh-CN"/>
        </w:rPr>
        <w:t xml:space="preserve"> of studying RAN security area</w:t>
      </w:r>
      <w:r>
        <w:t xml:space="preserve"> is to study potential attack vectors, vulnerabilities, security and privacy risks, impact and mitigations.</w:t>
      </w:r>
      <w:r>
        <w:rPr>
          <w:rFonts w:hint="eastAsia"/>
          <w:lang w:val="en-US" w:eastAsia="zh-CN"/>
        </w:rPr>
        <w:t xml:space="preserve"> Since MAC CE risk analysis is already conducted in Annex B, it is proposed to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below:</w:t>
      </w:r>
    </w:p>
    <w:p>
      <w:pPr>
        <w:pStyle w:val="74"/>
      </w:pPr>
      <w:r>
        <w:t>Editor’s Note: Lower layer security is FFS.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4824659"/>
      <w:bookmarkStart w:id="1" w:name="_Toc215057328"/>
      <w:r>
        <w:t>5.2</w:t>
      </w:r>
      <w:r>
        <w:tab/>
      </w:r>
      <w:r>
        <w:t>Security area #2: RAN security</w:t>
      </w:r>
      <w:bookmarkEnd w:id="0"/>
      <w:bookmarkEnd w:id="1"/>
    </w:p>
    <w:p>
      <w:pPr>
        <w:pStyle w:val="4"/>
      </w:pPr>
      <w:bookmarkStart w:id="2" w:name="_Toc215057329"/>
      <w:bookmarkStart w:id="3" w:name="_Toc214824660"/>
      <w:r>
        <w:rPr>
          <w:lang w:eastAsia="zh-CN"/>
        </w:rPr>
        <w:t>5</w:t>
      </w:r>
      <w:r>
        <w:t>.2.1</w:t>
      </w:r>
      <w:r>
        <w:tab/>
      </w:r>
      <w:r>
        <w:t>Introduction</w:t>
      </w:r>
      <w:bookmarkEnd w:id="2"/>
      <w:bookmarkEnd w:id="3"/>
      <w:r>
        <w:t xml:space="preserve"> </w:t>
      </w:r>
    </w:p>
    <w:p>
      <w:r>
        <w:t>Purpose is to study potential attack vectors, vulnerabilities, security and privacy risks, impact and mitigations. This includes the following aspects:</w:t>
      </w:r>
    </w:p>
    <w:p>
      <w:pPr>
        <w:pStyle w:val="74"/>
      </w:pPr>
      <w:r>
        <w:t>Editor’s Note: To be aligned with TR 38.914 [1] and TR 38.760-2 [2] as 6G RAN study progresses in RAN WGs.</w:t>
      </w:r>
    </w:p>
    <w:p>
      <w:pPr>
        <w:pStyle w:val="75"/>
        <w:rPr>
          <w:del w:id="0" w:author="ZTE-Leyi" w:date="2026-01-29T16:44:31Z"/>
        </w:rPr>
      </w:pPr>
      <w:r>
        <w:t>-</w:t>
      </w:r>
      <w:r>
        <w:tab/>
      </w:r>
      <w:r>
        <w:t>Radio protocol stack</w:t>
      </w:r>
      <w:ins w:id="1" w:author="ZTE-Leyi" w:date="2026-01-29T16:44:43Z">
        <w:r>
          <w:rPr>
            <w:rFonts w:hint="eastAsia"/>
            <w:lang w:val="en-US" w:eastAsia="zh-CN"/>
          </w:rPr>
          <w:t xml:space="preserve"> (including lower layer stacks)</w:t>
        </w:r>
      </w:ins>
      <w:r>
        <w:t xml:space="preserve">, architecture and procedures </w:t>
      </w:r>
    </w:p>
    <w:p>
      <w:pPr>
        <w:pStyle w:val="75"/>
        <w:rPr>
          <w:highlight w:val="yellow"/>
        </w:rPr>
      </w:pPr>
      <w:del w:id="2" w:author="ZTE-Leyi" w:date="2026-01-29T16:44:30Z">
        <w:r>
          <w:rPr/>
          <w:delText>Edit</w:delText>
        </w:r>
      </w:del>
      <w:del w:id="3" w:author="ZTE-Leyi" w:date="2026-01-29T16:44:29Z">
        <w:r>
          <w:rPr/>
          <w:delText>or’s Note: Lower layer security is FFS.</w:delText>
        </w:r>
      </w:del>
    </w:p>
    <w:p>
      <w:pPr>
        <w:pStyle w:val="74"/>
      </w:pPr>
      <w:r>
        <w:t>Editor’s Note: Examples are FFS.</w:t>
      </w:r>
    </w:p>
    <w:p>
      <w:pPr>
        <w:pStyle w:val="75"/>
      </w:pPr>
      <w:r>
        <w:t>-</w:t>
      </w:r>
      <w:r>
        <w:tab/>
      </w:r>
      <w:r>
        <w:t>Mobility and state transitions within 6G radio</w:t>
      </w:r>
    </w:p>
    <w:p>
      <w:pPr>
        <w:pStyle w:val="75"/>
      </w:pPr>
      <w:r>
        <w:t>-</w:t>
      </w:r>
      <w:r>
        <w:tab/>
      </w:r>
      <w:r>
        <w:t>Mobility between 5G NR and 6G Radio</w:t>
      </w:r>
    </w:p>
    <w:p>
      <w:pPr>
        <w:pStyle w:val="57"/>
      </w:pPr>
      <w:r>
        <w:t>NOTE: Mobility aspects that affect the core network security context are included in other security areas.</w:t>
      </w:r>
    </w:p>
    <w:p>
      <w:pPr>
        <w:pStyle w:val="75"/>
      </w:pPr>
      <w:r>
        <w:t>-</w:t>
      </w:r>
      <w:r>
        <w:tab/>
      </w:r>
      <w:r>
        <w:t>Interfaces within RAN and between RAN and core network</w:t>
      </w:r>
    </w:p>
    <w:p>
      <w:pPr>
        <w:pStyle w:val="74"/>
      </w:pPr>
      <w:r>
        <w:t>Editor’s Note: Other aspects are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ECC27EA"/>
    <w:rsid w:val="14B24E9D"/>
    <w:rsid w:val="228B14B1"/>
    <w:rsid w:val="3587187B"/>
    <w:rsid w:val="3F542A99"/>
    <w:rsid w:val="42B234D7"/>
    <w:rsid w:val="47FE1F10"/>
    <w:rsid w:val="4DCB0F30"/>
    <w:rsid w:val="54C42A36"/>
    <w:rsid w:val="56AC0870"/>
    <w:rsid w:val="57786B76"/>
    <w:rsid w:val="58290919"/>
    <w:rsid w:val="665331C1"/>
    <w:rsid w:val="69812A64"/>
    <w:rsid w:val="6E1049F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2026-02-02T07:33:54Z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